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67" w:rsidRPr="00186AC9" w:rsidRDefault="00B20A67" w:rsidP="00B20A67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 xml:space="preserve">Kauno miesto savivaldybės administracijos </w:t>
      </w:r>
    </w:p>
    <w:p w:rsidR="00B20A67" w:rsidRPr="00186AC9" w:rsidRDefault="00B20A67" w:rsidP="00B20A67">
      <w:pPr>
        <w:overflowPunct/>
        <w:autoSpaceDE/>
        <w:autoSpaceDN/>
        <w:adjustRightInd/>
        <w:spacing w:line="360" w:lineRule="auto"/>
        <w:ind w:left="5184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Švietimo skyriaus vedėjo</w:t>
      </w:r>
    </w:p>
    <w:p w:rsidR="00B20A67" w:rsidRPr="00186AC9" w:rsidRDefault="00B20A67" w:rsidP="00B20A67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20</w:t>
      </w:r>
      <w:r>
        <w:rPr>
          <w:rFonts w:ascii="Times New Roman" w:hAnsi="Times New Roman"/>
          <w:sz w:val="24"/>
          <w:szCs w:val="24"/>
          <w:lang w:val="lt-LT"/>
        </w:rPr>
        <w:t>20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vasario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4"/>
          <w:szCs w:val="24"/>
          <w:lang w:val="lt-LT"/>
        </w:rPr>
        <w:t xml:space="preserve">   </w:t>
      </w:r>
      <w:r w:rsidRPr="00186AC9">
        <w:rPr>
          <w:rFonts w:ascii="Times New Roman" w:hAnsi="Times New Roman"/>
          <w:sz w:val="24"/>
          <w:szCs w:val="24"/>
          <w:lang w:val="lt-LT"/>
        </w:rPr>
        <w:t xml:space="preserve">d. įsakymo Nr. </w:t>
      </w:r>
    </w:p>
    <w:p w:rsidR="00B20A67" w:rsidRPr="008A2453" w:rsidRDefault="00B20A67" w:rsidP="00B20A67">
      <w:pPr>
        <w:overflowPunct/>
        <w:autoSpaceDE/>
        <w:autoSpaceDN/>
        <w:adjustRightInd/>
        <w:spacing w:line="360" w:lineRule="auto"/>
        <w:ind w:left="3888" w:firstLine="1296"/>
        <w:textAlignment w:val="auto"/>
        <w:rPr>
          <w:rFonts w:ascii="Times New Roman" w:hAnsi="Times New Roman"/>
          <w:sz w:val="24"/>
          <w:szCs w:val="24"/>
          <w:lang w:val="lt-LT"/>
        </w:rPr>
      </w:pPr>
      <w:r w:rsidRPr="00186AC9">
        <w:rPr>
          <w:rFonts w:ascii="Times New Roman" w:hAnsi="Times New Roman"/>
          <w:sz w:val="24"/>
          <w:szCs w:val="24"/>
          <w:lang w:val="lt-LT"/>
        </w:rPr>
        <w:t>priedas</w:t>
      </w:r>
    </w:p>
    <w:p w:rsidR="00B20A67" w:rsidRPr="000B0EDD" w:rsidRDefault="00B20A67" w:rsidP="00B20A67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</w:p>
    <w:p w:rsidR="00B20A67" w:rsidRPr="00B71802" w:rsidRDefault="00B20A67" w:rsidP="00B20A67">
      <w:pPr>
        <w:tabs>
          <w:tab w:val="left" w:pos="14656"/>
        </w:tabs>
        <w:ind w:left="124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71802">
        <w:rPr>
          <w:rFonts w:ascii="Times New Roman" w:hAnsi="Times New Roman"/>
          <w:b/>
          <w:sz w:val="24"/>
          <w:szCs w:val="24"/>
          <w:lang w:eastAsia="lt-LT"/>
        </w:rPr>
        <w:t>KAUNO LOPŠELIO-DARŽELIO „DAIGELIS“</w:t>
      </w:r>
    </w:p>
    <w:p w:rsidR="00B20A67" w:rsidRPr="00B71802" w:rsidRDefault="00B20A67" w:rsidP="00B20A67">
      <w:pPr>
        <w:tabs>
          <w:tab w:val="left" w:pos="14656"/>
        </w:tabs>
        <w:ind w:left="124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71802">
        <w:rPr>
          <w:rFonts w:ascii="Times New Roman" w:hAnsi="Times New Roman"/>
          <w:b/>
          <w:sz w:val="24"/>
          <w:szCs w:val="24"/>
          <w:lang w:eastAsia="lt-LT"/>
        </w:rPr>
        <w:t>LAIMOS KANIENĖS</w:t>
      </w:r>
    </w:p>
    <w:p w:rsidR="00B20A67" w:rsidRPr="00B71802" w:rsidRDefault="00B20A67" w:rsidP="00B20A67">
      <w:pPr>
        <w:ind w:left="1247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B20A67" w:rsidRPr="00B71802" w:rsidRDefault="00B20A67" w:rsidP="00B20A67">
      <w:pPr>
        <w:ind w:left="124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2019</w:t>
      </w:r>
      <w:r w:rsidRPr="00B71802">
        <w:rPr>
          <w:rFonts w:ascii="Times New Roman" w:hAnsi="Times New Roman"/>
          <w:b/>
          <w:sz w:val="24"/>
          <w:szCs w:val="24"/>
          <w:lang w:eastAsia="lt-LT"/>
        </w:rPr>
        <w:t xml:space="preserve"> METŲ VEIKLOS ATASKAITA</w:t>
      </w:r>
    </w:p>
    <w:p w:rsidR="00B20A67" w:rsidRPr="00B71802" w:rsidRDefault="00B20A67" w:rsidP="00B20A67">
      <w:pPr>
        <w:ind w:left="1247"/>
        <w:jc w:val="center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B20A67" w:rsidRPr="00B71802" w:rsidRDefault="00B20A67" w:rsidP="00B20A67">
      <w:pPr>
        <w:ind w:left="1247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B71802">
        <w:rPr>
          <w:rFonts w:ascii="Times New Roman" w:hAnsi="Times New Roman"/>
          <w:sz w:val="24"/>
          <w:szCs w:val="24"/>
          <w:lang w:eastAsia="lt-LT"/>
        </w:rPr>
        <w:t>_______ Nr. ________</w:t>
      </w:r>
    </w:p>
    <w:p w:rsidR="00B20A67" w:rsidRPr="00B71802" w:rsidRDefault="00B20A67" w:rsidP="00B20A67">
      <w:pPr>
        <w:ind w:left="1247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B20A67" w:rsidRDefault="00B20A67" w:rsidP="00B20A67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</w:t>
      </w:r>
      <w:r w:rsidRPr="00B71802">
        <w:rPr>
          <w:rFonts w:ascii="Times New Roman" w:hAnsi="Times New Roman"/>
          <w:sz w:val="24"/>
          <w:szCs w:val="24"/>
          <w:lang w:eastAsia="lt-LT"/>
        </w:rPr>
        <w:t>Kaunas</w:t>
      </w:r>
    </w:p>
    <w:p w:rsidR="00B20A67" w:rsidRPr="00B71802" w:rsidRDefault="00B20A67" w:rsidP="00B20A67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B20A67" w:rsidRPr="00B71802" w:rsidRDefault="00B20A67" w:rsidP="00B20A67">
      <w:pPr>
        <w:rPr>
          <w:rFonts w:ascii="Times New Roman" w:hAnsi="Times New Roman"/>
          <w:lang w:eastAsia="lt-LT"/>
        </w:rPr>
      </w:pP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B20A67" w:rsidRPr="00BA06A9" w:rsidRDefault="00B20A67" w:rsidP="00B20A67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20A67" w:rsidRPr="00B71802" w:rsidTr="00812A55">
        <w:tc>
          <w:tcPr>
            <w:tcW w:w="9628" w:type="dxa"/>
          </w:tcPr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>2019 m. pasirinktos strateginės veiklos kryptys:</w:t>
            </w:r>
          </w:p>
          <w:p w:rsidR="00B20A67" w:rsidRPr="00E276A9" w:rsidRDefault="00B20A67" w:rsidP="00B20A67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276A9">
              <w:rPr>
                <w:rFonts w:ascii="Times New Roman" w:hAnsi="Times New Roman"/>
                <w:i/>
                <w:sz w:val="22"/>
                <w:szCs w:val="22"/>
              </w:rPr>
              <w:t xml:space="preserve">Maisto bloko įrangos atnaujinimas; </w:t>
            </w:r>
          </w:p>
          <w:p w:rsidR="00B20A67" w:rsidRPr="00E276A9" w:rsidRDefault="00B20A67" w:rsidP="00B20A6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276A9">
              <w:rPr>
                <w:rFonts w:ascii="Times New Roman" w:hAnsi="Times New Roman"/>
                <w:i/>
                <w:sz w:val="22"/>
                <w:szCs w:val="22"/>
              </w:rPr>
              <w:t>Grupių patalpų ir inventoriaus atnaujinimas;</w:t>
            </w:r>
          </w:p>
          <w:p w:rsidR="00B20A67" w:rsidRPr="00E276A9" w:rsidRDefault="00B20A67" w:rsidP="00B20A6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276A9">
              <w:rPr>
                <w:rFonts w:ascii="Times New Roman" w:hAnsi="Times New Roman"/>
                <w:i/>
                <w:sz w:val="22"/>
                <w:szCs w:val="22"/>
              </w:rPr>
              <w:t>Ugdymosi aplinkų kūrimas vaikų mokėjimui mokytis per patirtį;</w:t>
            </w:r>
          </w:p>
          <w:p w:rsidR="00B20A67" w:rsidRPr="00E276A9" w:rsidRDefault="00B20A67" w:rsidP="00B20A67">
            <w:pPr>
              <w:numPr>
                <w:ilvl w:val="0"/>
                <w:numId w:val="1"/>
              </w:numPr>
              <w:overflowPunct/>
              <w:jc w:val="both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E276A9">
              <w:rPr>
                <w:rFonts w:ascii="Times New Roman" w:hAnsi="Times New Roman"/>
                <w:i/>
                <w:sz w:val="22"/>
                <w:szCs w:val="22"/>
              </w:rPr>
              <w:t>Socialinių ir pažinimo kompetencijų ugdymas;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 xml:space="preserve">Įstaigos </w:t>
            </w:r>
            <w:r w:rsidRPr="00E276A9">
              <w:rPr>
                <w:rFonts w:ascii="Times New Roman" w:hAnsi="Times New Roman"/>
                <w:sz w:val="22"/>
                <w:szCs w:val="22"/>
                <w:lang w:val="lt-LT"/>
              </w:rPr>
              <w:t>2019-2021m. strateginės veiklos 1-ajį tikslo „Užtikr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inant vaikų</w:t>
            </w:r>
            <w:r w:rsidRPr="00E276A9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pasiekimus taikyti patirtinį ugdymą ir socialinių įgūdžių ugdymo prevenciją“ įgyvendinimo rezultatai: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276A9">
              <w:rPr>
                <w:rFonts w:ascii="Times New Roman" w:hAnsi="Times New Roman"/>
                <w:sz w:val="22"/>
                <w:szCs w:val="22"/>
                <w:lang w:val="lt-LT"/>
              </w:rPr>
              <w:t>1 uždavinys „Vykdyti tikslingą prevencinę, patirtinę veiklą, įtraukiant šeimas ir socialinius partnerius, siekiant vaikų socialinių gebėjimų pokyčio“ įgyvendintas 33 %</w:t>
            </w:r>
          </w:p>
          <w:p w:rsidR="00B20A67" w:rsidRPr="00E276A9" w:rsidRDefault="00B20A67" w:rsidP="00812A55">
            <w:pPr>
              <w:pStyle w:val="NoSpacing"/>
              <w:jc w:val="both"/>
              <w:rPr>
                <w:rFonts w:eastAsia="Calibri"/>
                <w:sz w:val="22"/>
                <w:szCs w:val="22"/>
              </w:rPr>
            </w:pPr>
            <w:r w:rsidRPr="00E276A9">
              <w:rPr>
                <w:rFonts w:eastAsia="Calibri"/>
                <w:sz w:val="22"/>
                <w:szCs w:val="22"/>
              </w:rPr>
              <w:t>Buvo įgyvendinamas tęstinis socialinės partnerystės projektas ,,Padedam augti“. 90 % vaikų, iš jų 15 % SUP vaikų, 100% pedagogų dalyvavo patirtiniame ugdyme su socialiniais partneriais.</w:t>
            </w:r>
            <w:r w:rsidRPr="00E276A9">
              <w:rPr>
                <w:sz w:val="22"/>
                <w:szCs w:val="22"/>
              </w:rPr>
              <w:t xml:space="preserve"> Įgyvendintos 3 socialinių įgūdžių ugdymo prevencijos programos, bei tarptautinis proj</w:t>
            </w:r>
            <w:r>
              <w:rPr>
                <w:sz w:val="22"/>
                <w:szCs w:val="22"/>
              </w:rPr>
              <w:t xml:space="preserve">ektas ,,Say Hello to the World“, </w:t>
            </w:r>
            <w:r w:rsidRPr="00B74EDC">
              <w:rPr>
                <w:sz w:val="22"/>
                <w:szCs w:val="22"/>
                <w:lang w:eastAsia="lt-LT"/>
              </w:rPr>
              <w:t xml:space="preserve">. Įstaiga įgijo tolerantiško darželio/mokyklos sertifikatą. </w:t>
            </w:r>
            <w:r w:rsidRPr="00E276A9">
              <w:rPr>
                <w:sz w:val="22"/>
                <w:szCs w:val="22"/>
              </w:rPr>
              <w:t>58</w:t>
            </w:r>
            <w:r w:rsidRPr="00E276A9">
              <w:rPr>
                <w:rFonts w:eastAsia="Calibri"/>
                <w:sz w:val="22"/>
                <w:szCs w:val="22"/>
              </w:rPr>
              <w:t>% pa</w:t>
            </w:r>
            <w:r w:rsidRPr="00E276A9">
              <w:rPr>
                <w:sz w:val="22"/>
                <w:szCs w:val="22"/>
              </w:rPr>
              <w:t>didėjo vaikų pažinimo ir socialinių gebėjimų pasiekimai. Panaudota 544,00 Eur SB ir Mokymo lėšų.</w:t>
            </w:r>
          </w:p>
          <w:p w:rsidR="00B20A67" w:rsidRPr="00B20A67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276A9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3 uždavinys” Sukurti ugdymosi aplinkas vaikų mokėjimui mokytis per patirtį“. </w:t>
            </w:r>
            <w:r w:rsidRPr="00B20A67">
              <w:rPr>
                <w:rFonts w:ascii="Times New Roman" w:hAnsi="Times New Roman"/>
                <w:sz w:val="22"/>
                <w:szCs w:val="22"/>
                <w:lang w:val="lt-LT"/>
              </w:rPr>
              <w:t>įgyvendintas 100%.</w:t>
            </w:r>
          </w:p>
          <w:p w:rsidR="00B20A67" w:rsidRPr="00E276A9" w:rsidRDefault="00B20A67" w:rsidP="00812A55">
            <w:pPr>
              <w:pStyle w:val="NoSpacing"/>
              <w:jc w:val="both"/>
              <w:rPr>
                <w:sz w:val="22"/>
                <w:szCs w:val="22"/>
              </w:rPr>
            </w:pPr>
            <w:r w:rsidRPr="00E276A9">
              <w:rPr>
                <w:sz w:val="22"/>
                <w:szCs w:val="22"/>
              </w:rPr>
              <w:t>Panaudojus 3873,00 Eur  ML, SB spec. ir 2 proc. lėšas bendrose erdvėse įkurtos konstravimo ir tyrinėjimo  erdvės, įsigytos 4 sensorinės priemonės, 6 grupėse sukurtos erdvės poilsiui ir individualiai veiklai.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 xml:space="preserve">60 </w:t>
            </w:r>
            <w:r w:rsidRPr="00E276A9">
              <w:rPr>
                <w:rFonts w:ascii="Times New Roman" w:eastAsia="Calibri" w:hAnsi="Times New Roman"/>
                <w:sz w:val="22"/>
                <w:szCs w:val="22"/>
              </w:rPr>
              <w:t xml:space="preserve">% </w:t>
            </w:r>
            <w:r w:rsidRPr="00E276A9">
              <w:rPr>
                <w:rFonts w:ascii="Times New Roman" w:hAnsi="Times New Roman"/>
                <w:sz w:val="22"/>
                <w:szCs w:val="22"/>
              </w:rPr>
              <w:t>3</w:t>
            </w:r>
            <w:r w:rsidRPr="00E276A9">
              <w:rPr>
                <w:rFonts w:ascii="Times New Roman" w:eastAsia="Calibri" w:hAnsi="Times New Roman"/>
                <w:sz w:val="22"/>
                <w:szCs w:val="22"/>
              </w:rPr>
              <w:t xml:space="preserve">-6 m. </w:t>
            </w:r>
            <w:r w:rsidRPr="00E276A9">
              <w:rPr>
                <w:rFonts w:ascii="Times New Roman" w:hAnsi="Times New Roman"/>
                <w:sz w:val="22"/>
                <w:szCs w:val="22"/>
              </w:rPr>
              <w:t>vaikų geba savarankiškai pasirinkti ir numatyti patys tinkamus veikimo būdus. Lauko pedagogikos elementai taikyti žaidimų aikštelėse: įkurta ,,Pažinimo pieva“, šiltnamis, kūrybiniai atradimų staliukai. Šį uždavinį realizuojant dalyvavo 100% vaikų, 80% pedagogų.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 xml:space="preserve">2 tikslas - Siekiant vaikų saugumo modernizuoti ugdymo bei bendros paskirties erdves, racionaliai panaudojant lėšas buvo realizuojamas įgyvendinant 1 uždavinį “Atnaujinti grupių patalpas ir inventorių siekiant užtikrinti saugumą”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Įgyvendinimo rezultatas - </w:t>
            </w:r>
            <w:r w:rsidRPr="00E276A9">
              <w:rPr>
                <w:rFonts w:ascii="Times New Roman" w:hAnsi="Times New Roman"/>
                <w:sz w:val="22"/>
                <w:szCs w:val="22"/>
              </w:rPr>
              <w:t>68 proc.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>Panaudojus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8270</w:t>
            </w:r>
            <w:r w:rsidRPr="00E276A9">
              <w:rPr>
                <w:rFonts w:ascii="Times New Roman" w:hAnsi="Times New Roman"/>
                <w:sz w:val="22"/>
                <w:szCs w:val="22"/>
              </w:rPr>
              <w:t>,00 Eur SB, Spec ir 2 proc. lėšų atliktas kapitalinis remontas 1 grupėje. Pakeista grindų danga 4 –iose grupėse 220 m</w:t>
            </w:r>
            <w:r w:rsidRPr="00E276A9">
              <w:rPr>
                <w:rFonts w:ascii="Times New Roman" w:hAnsi="Times New Roman"/>
                <w:sz w:val="22"/>
                <w:szCs w:val="22"/>
                <w:vertAlign w:val="superscript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, 3 durys</w:t>
            </w:r>
            <w:r w:rsidRPr="00E276A9">
              <w:rPr>
                <w:rFonts w:ascii="Times New Roman" w:hAnsi="Times New Roman"/>
                <w:sz w:val="22"/>
                <w:szCs w:val="22"/>
              </w:rPr>
              <w:t xml:space="preserve"> Įsigyta 48 lovytės ir čiužinukai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Įsigyta įranga maisto bloke už 8950,00 Eur (SB lėšos): bulviaskutė, gartraukis virš konvekcinės krosnies, 3 šaldytuvai, stelažas  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 xml:space="preserve">3 –iasis šio tikslo uždavinys “Užtikrinti higienos normų atitiktį bei pagerinti materialines sąlygas vidaus ir lauko erdvės”  įgyvendintas 31 proc. . </w:t>
            </w:r>
          </w:p>
          <w:p w:rsidR="00B20A67" w:rsidRPr="00E276A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6A9">
              <w:rPr>
                <w:rFonts w:ascii="Times New Roman" w:hAnsi="Times New Roman"/>
                <w:sz w:val="22"/>
                <w:szCs w:val="22"/>
              </w:rPr>
              <w:t>Įsigyti 3 šaldytuvai, stelažas ir virtuvės stalas, bulviaskutė. Nupirkti radiatoriai, pasiruošta  šildymo sistemos  remontui.  Panaudota 17637,00 Eur SB lėšų.</w:t>
            </w:r>
          </w:p>
        </w:tc>
      </w:tr>
    </w:tbl>
    <w:p w:rsidR="00B20A67" w:rsidRDefault="00B20A67" w:rsidP="00B20A67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0A67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2019 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B20A67" w:rsidRPr="00BA06A9" w:rsidRDefault="00B20A67" w:rsidP="00B20A67">
      <w:pPr>
        <w:jc w:val="center"/>
        <w:rPr>
          <w:rFonts w:ascii="Times New Roman" w:hAnsi="Times New Roman"/>
          <w:lang w:val="lt-LT" w:eastAsia="lt-LT"/>
        </w:rPr>
      </w:pPr>
    </w:p>
    <w:p w:rsidR="00B20A67" w:rsidRPr="00DA4C2F" w:rsidRDefault="00B20A67" w:rsidP="00B20A6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2430"/>
        <w:gridCol w:w="3625"/>
      </w:tblGrid>
      <w:tr w:rsidR="00B20A67" w:rsidRPr="00DA4C2F" w:rsidTr="00B20A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F811D6" w:rsidRDefault="00B20A67" w:rsidP="00812A55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Metų užduotys (toliau – užduotys)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F811D6" w:rsidRDefault="00B20A67" w:rsidP="00812A55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 w:eastAsia="lt-LT"/>
              </w:rPr>
              <w:t>Siektini rezultatai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F811D6" w:rsidRDefault="00B20A67" w:rsidP="00812A55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F811D6" w:rsidRDefault="00B20A67" w:rsidP="00812A55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Pasiekti rezultatai ir jų rodikliai</w:t>
            </w:r>
          </w:p>
        </w:tc>
      </w:tr>
      <w:tr w:rsidR="00B20A67" w:rsidRPr="0042761F" w:rsidTr="00B20A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1.1. Pasiekti STRAPIO rodikliai, 2019 metų įstaigos veiklos plane numatyti tikslai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</w:rPr>
              <w:t xml:space="preserve">Pasiekti numatytus rezultatus pagal suplanuotus sėkmės kriterijus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F811D6" w:rsidRDefault="00B20A67" w:rsidP="00812A55">
            <w:pPr>
              <w:pStyle w:val="NoSpacing"/>
              <w:jc w:val="both"/>
              <w:rPr>
                <w:sz w:val="22"/>
                <w:szCs w:val="22"/>
                <w:lang w:eastAsia="lt-LT"/>
              </w:rPr>
            </w:pPr>
            <w:r w:rsidRPr="00F811D6">
              <w:rPr>
                <w:sz w:val="22"/>
                <w:szCs w:val="22"/>
              </w:rPr>
              <w:t>Pasiekti planuojami rezultatai, nurodyti STRAPYJE ir veiklos plane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67" w:rsidRPr="00F811D6" w:rsidRDefault="00B20A67" w:rsidP="00812A55">
            <w:pPr>
              <w:pStyle w:val="NoSpacing"/>
              <w:jc w:val="both"/>
              <w:rPr>
                <w:rFonts w:eastAsia="Calibri"/>
                <w:sz w:val="22"/>
                <w:szCs w:val="22"/>
              </w:rPr>
            </w:pPr>
            <w:r w:rsidRPr="00F811D6">
              <w:rPr>
                <w:sz w:val="22"/>
                <w:szCs w:val="22"/>
              </w:rPr>
              <w:t>Tikslas „</w:t>
            </w:r>
            <w:r w:rsidRPr="00F811D6">
              <w:rPr>
                <w:b/>
                <w:i/>
                <w:sz w:val="22"/>
                <w:szCs w:val="22"/>
              </w:rPr>
              <w:t xml:space="preserve">Sukurti ugdymosi aplinkas vaikų mokėjimui mokytis per patirtį, siekiant 3-6m. pažinimo, socialinių gebėjimų pažangos pokyčio“ </w:t>
            </w:r>
            <w:r w:rsidRPr="00F811D6">
              <w:rPr>
                <w:sz w:val="22"/>
                <w:szCs w:val="22"/>
              </w:rPr>
              <w:t>pasiektas 100 %,</w:t>
            </w:r>
            <w:r w:rsidRPr="00F811D6">
              <w:rPr>
                <w:i/>
                <w:sz w:val="22"/>
                <w:szCs w:val="22"/>
              </w:rPr>
              <w:t xml:space="preserve"> </w:t>
            </w:r>
            <w:r w:rsidRPr="00F811D6">
              <w:rPr>
                <w:sz w:val="22"/>
                <w:szCs w:val="22"/>
              </w:rPr>
              <w:t>įgyvendintos ir viršytos numatytos priemonės ir pasiekti maksimalūs rezultatai. Sukurtos funkcionalios ugdymosi aplinkos bei išplėtotas patirtinis ugdymas turėjo įtakos teigiamiems vaikų savarankiškumo, socialinių, tyrinėjimų įgūdžių pasiekimų pokyčiams.</w:t>
            </w:r>
          </w:p>
          <w:p w:rsidR="00B20A67" w:rsidRPr="00F811D6" w:rsidRDefault="00B20A67" w:rsidP="00812A55">
            <w:pPr>
              <w:pStyle w:val="NoSpacing"/>
              <w:jc w:val="both"/>
              <w:rPr>
                <w:rFonts w:eastAsia="Calibri"/>
                <w:sz w:val="22"/>
                <w:szCs w:val="22"/>
              </w:rPr>
            </w:pPr>
            <w:r w:rsidRPr="00F811D6">
              <w:rPr>
                <w:rFonts w:eastAsia="Calibri"/>
                <w:sz w:val="22"/>
                <w:szCs w:val="22"/>
              </w:rPr>
              <w:t>90 % vaikų, iš jų 15 % SUP vaikų, 100% pedagogų dalyvavo patirtiniame ugdyme su socialiniais partneriais.</w:t>
            </w:r>
          </w:p>
          <w:p w:rsidR="00B20A67" w:rsidRPr="00F811D6" w:rsidRDefault="00B20A67" w:rsidP="00812A55">
            <w:pPr>
              <w:pStyle w:val="NoSpacing"/>
              <w:jc w:val="both"/>
              <w:rPr>
                <w:sz w:val="22"/>
                <w:szCs w:val="22"/>
              </w:rPr>
            </w:pPr>
            <w:r w:rsidRPr="00F811D6">
              <w:rPr>
                <w:sz w:val="22"/>
                <w:szCs w:val="22"/>
              </w:rPr>
              <w:t>Bendrose erdvėse įkurtos konstravimo ir tyrinėjimo erdvės, įsigytos 4 sensorinės priemonės;</w:t>
            </w:r>
          </w:p>
          <w:p w:rsidR="00B20A67" w:rsidRPr="00F811D6" w:rsidRDefault="00B20A67" w:rsidP="00812A55">
            <w:pPr>
              <w:pStyle w:val="NoSpacing"/>
              <w:jc w:val="both"/>
              <w:rPr>
                <w:rFonts w:eastAsia="Calibri"/>
                <w:sz w:val="22"/>
                <w:szCs w:val="22"/>
              </w:rPr>
            </w:pPr>
            <w:r w:rsidRPr="00F811D6">
              <w:rPr>
                <w:sz w:val="22"/>
                <w:szCs w:val="22"/>
              </w:rPr>
              <w:t>6 grupėse sukurtos erdvės poilsiui ir individualiai veiklai.</w:t>
            </w:r>
          </w:p>
          <w:p w:rsidR="00B20A67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60 </w:t>
            </w:r>
            <w:r w:rsidRPr="00F811D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 xml:space="preserve">% </w:t>
            </w: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3</w:t>
            </w:r>
            <w:r w:rsidRPr="00F811D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 xml:space="preserve">-6 m. </w:t>
            </w: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vaikų savarankiškai geba pasirinkti ir numatyti patys tinkamus veikimo būdus, 58</w:t>
            </w:r>
            <w:r w:rsidRPr="00F811D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% pa</w:t>
            </w: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didėja pažinimo ir socialinių gebėjimų pasiekimai.</w:t>
            </w:r>
          </w:p>
          <w:p w:rsidR="00B20A67" w:rsidRPr="00B03C4D" w:rsidRDefault="00B20A67" w:rsidP="00812A55">
            <w:pPr>
              <w:pStyle w:val="NoSpacing"/>
              <w:jc w:val="both"/>
              <w:rPr>
                <w:rFonts w:eastAsia="Calibri"/>
                <w:sz w:val="22"/>
                <w:szCs w:val="22"/>
              </w:rPr>
            </w:pPr>
            <w:r w:rsidRPr="00F811D6">
              <w:rPr>
                <w:b/>
                <w:i/>
                <w:sz w:val="22"/>
                <w:szCs w:val="22"/>
              </w:rPr>
              <w:t>Tikslas „Užtikrinti saugumą ir higienos normų atitiktį atnaujinant lauko aikštelių, grupių bei maisto bloko inventorių ir patalpas“</w:t>
            </w:r>
            <w:r w:rsidRPr="00F811D6">
              <w:rPr>
                <w:sz w:val="22"/>
                <w:szCs w:val="22"/>
              </w:rPr>
              <w:t xml:space="preserve"> pasiektas 100%, </w:t>
            </w:r>
            <w:r w:rsidRPr="00F811D6">
              <w:rPr>
                <w:i/>
                <w:sz w:val="22"/>
                <w:szCs w:val="22"/>
              </w:rPr>
              <w:t xml:space="preserve"> </w:t>
            </w:r>
            <w:r w:rsidRPr="00F811D6">
              <w:rPr>
                <w:sz w:val="22"/>
                <w:szCs w:val="22"/>
              </w:rPr>
              <w:t>įgyvendintos ir viršytos numatytos priemonės ir pasiekti maksimalūs rezultatai.</w:t>
            </w:r>
          </w:p>
          <w:p w:rsidR="00B20A67" w:rsidRPr="00394C89" w:rsidRDefault="00B20A67" w:rsidP="00812A55">
            <w:pPr>
              <w:spacing w:line="276" w:lineRule="auto"/>
              <w:ind w:right="5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Pakeista 4 grupių grindų danga (220 m</w:t>
            </w:r>
            <w:r w:rsidRPr="00F811D6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2</w:t>
            </w: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), įsigytos 48 mobilios lovytės ir čiužinukai.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B03C4D">
              <w:rPr>
                <w:rFonts w:ascii="Times New Roman" w:hAnsi="Times New Roman"/>
                <w:sz w:val="22"/>
                <w:szCs w:val="22"/>
                <w:lang w:val="lt-LT"/>
              </w:rPr>
              <w:t>Įsigyta 5 įrenginiai maisto ruošimo patalpose.</w:t>
            </w:r>
          </w:p>
          <w:p w:rsidR="00B20A67" w:rsidRPr="00B20A67" w:rsidRDefault="00B20A67" w:rsidP="00812A5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/>
              </w:rPr>
            </w:pPr>
            <w:r w:rsidRPr="00B20A6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Atliktas kapitalinis „Pelėdžiukų“ grupės remontas, </w:t>
            </w:r>
            <w:r w:rsidRPr="00B20A67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įsigyti 4 kūrybiniai lauko stalai.</w:t>
            </w:r>
          </w:p>
          <w:p w:rsidR="00B20A67" w:rsidRPr="00B20A67" w:rsidRDefault="00B20A67" w:rsidP="00812A5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/>
              </w:rPr>
            </w:pPr>
            <w:r w:rsidRPr="00B20A67">
              <w:rPr>
                <w:rFonts w:ascii="Times New Roman" w:eastAsia="Calibri" w:hAnsi="Times New Roman"/>
                <w:sz w:val="22"/>
                <w:szCs w:val="22"/>
                <w:lang w:val="lt-LT"/>
              </w:rPr>
              <w:t xml:space="preserve">Pasiekti STRAPIO rodikliai: </w:t>
            </w:r>
          </w:p>
          <w:p w:rsidR="00B20A67" w:rsidRPr="00B20A67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20A67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100 proc. pedagogų</w:t>
            </w:r>
            <w:r w:rsidRPr="00B20A6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taikė skaitmeninę ugdymo turinio planavimo ir vaikų pasiekimų vertinimo sistemą</w:t>
            </w:r>
            <w:r w:rsidRPr="00B20A67">
              <w:rPr>
                <w:rFonts w:ascii="Times New Roman" w:eastAsia="Calibri" w:hAnsi="Times New Roman"/>
                <w:sz w:val="22"/>
                <w:szCs w:val="22"/>
                <w:lang w:val="lt-LT"/>
              </w:rPr>
              <w:t xml:space="preserve"> </w:t>
            </w:r>
            <w:r w:rsidRPr="00B20A67">
              <w:rPr>
                <w:rFonts w:ascii="Times New Roman" w:hAnsi="Times New Roman"/>
                <w:sz w:val="22"/>
                <w:szCs w:val="22"/>
                <w:lang w:val="lt-LT"/>
              </w:rPr>
              <w:t>(el. dienyną),</w:t>
            </w:r>
          </w:p>
          <w:p w:rsidR="00B20A67" w:rsidRPr="00B20A67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B20A67">
              <w:rPr>
                <w:rFonts w:ascii="Times New Roman" w:hAnsi="Times New Roman"/>
                <w:sz w:val="22"/>
                <w:szCs w:val="22"/>
                <w:lang w:val="lt-LT"/>
              </w:rPr>
              <w:t>100 proc. vaikų pažangos stebėsenos rezultatai buvo perduoti kitos pakopos: priešmokyklinio ir pradinio ugdymo specialistams.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0A6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>3 pr</w:t>
            </w:r>
            <w:r>
              <w:rPr>
                <w:rFonts w:ascii="Times New Roman" w:hAnsi="Times New Roman"/>
                <w:sz w:val="22"/>
                <w:szCs w:val="22"/>
              </w:rPr>
              <w:t>oc. vaikų gavo švietimo pagalbą.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1D6">
              <w:rPr>
                <w:rFonts w:ascii="Times New Roman" w:hAnsi="Times New Roman"/>
                <w:sz w:val="22"/>
                <w:szCs w:val="22"/>
              </w:rPr>
              <w:t xml:space="preserve">Vaikų skaičiaus vidurkis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atitiko 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>STRAPYJE 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uplanuotą vidurkį: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lopšelio-12; darželio 20;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priešmokyklinio-26.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11D6">
              <w:rPr>
                <w:rFonts w:ascii="Times New Roman" w:hAnsi="Times New Roman"/>
                <w:sz w:val="22"/>
                <w:szCs w:val="22"/>
              </w:rPr>
              <w:t>Lankytų dienų dalis: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 xml:space="preserve">opšelio-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 xml:space="preserve"> proc.</w:t>
            </w:r>
          </w:p>
          <w:p w:rsidR="00B20A67" w:rsidRPr="00394C8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darželio- 80 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>proc.</w:t>
            </w:r>
          </w:p>
        </w:tc>
      </w:tr>
      <w:tr w:rsidR="00B20A67" w:rsidRPr="00721149" w:rsidTr="00B20A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1.2. Efektyvus veiklos planavimas ir valdymas.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Užtikrinti įstaigos finansinę drausmę ir patikėto turto kontrolę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t>Veiklos planavimas ir valdymas siejamas su vaikų pažanga ir kliento sėkme. Gera įstaigos veiklos kontrolė.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F811D6" w:rsidRDefault="00B20A67" w:rsidP="00812A55">
            <w:pPr>
              <w:pStyle w:val="NoSpacing"/>
              <w:jc w:val="both"/>
              <w:rPr>
                <w:sz w:val="22"/>
                <w:szCs w:val="22"/>
              </w:rPr>
            </w:pPr>
            <w:r w:rsidRPr="00F811D6">
              <w:rPr>
                <w:sz w:val="22"/>
                <w:szCs w:val="22"/>
              </w:rPr>
              <w:t>Įstaigos veiklos rodikliai orientuoti į vaikų pažangos rezultatus, kliento sėkmę. Finansų kontrolės ataskaita įvertinta gerai.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Jei įstaigoje vykdomas patikrinimas, vidaus kontrolės ataskaitoje įstaigos veikla vertinama gerai.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67" w:rsidRDefault="00B20A67" w:rsidP="00812A5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Atlikto į</w:t>
            </w:r>
            <w:r w:rsidRPr="00B03C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staigos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B03C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veiklos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vidaus </w:t>
            </w:r>
            <w:r w:rsidRPr="00B03C4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įsivertinimo išvadomis</w:t>
            </w:r>
            <w:r w:rsidRPr="00B03C4D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–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3-6 m. </w:t>
            </w:r>
            <w:r w:rsidRPr="00B03C4D">
              <w:rPr>
                <w:rFonts w:ascii="Times New Roman" w:hAnsi="Times New Roman"/>
                <w:sz w:val="22"/>
                <w:szCs w:val="22"/>
                <w:lang w:val="lt-LT" w:eastAsia="lt-LT"/>
              </w:rPr>
              <w:t>vaikų pažinimo ir socialinių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gebėjimų pasiekimai  padidėjo </w:t>
            </w: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58</w:t>
            </w:r>
            <w:r w:rsidRPr="00F811D6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%</w:t>
            </w:r>
            <w:r>
              <w:rPr>
                <w:rFonts w:ascii="Times New Roman" w:eastAsia="Calibri" w:hAnsi="Times New Roman"/>
                <w:sz w:val="22"/>
                <w:szCs w:val="22"/>
                <w:lang w:val="lt-LT"/>
              </w:rPr>
              <w:t>.</w:t>
            </w:r>
          </w:p>
          <w:p w:rsidR="00B20A67" w:rsidRPr="00721149" w:rsidRDefault="00B20A67" w:rsidP="00812A55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lt-LT"/>
              </w:rPr>
              <w:t xml:space="preserve">Buvo užtikrinamas vaikų saugumas: atnaujintas maisto bloko inventorius, atliktas kapitalinis grupės patalpų remontas, pakeista  grindų danga 4 ugdymo patalpose. </w:t>
            </w:r>
            <w:r w:rsidRPr="00721149">
              <w:rPr>
                <w:rFonts w:ascii="Times New Roman" w:eastAsia="Calibri" w:hAnsi="Times New Roman"/>
                <w:sz w:val="22"/>
                <w:szCs w:val="22"/>
                <w:lang w:val="lt-LT"/>
              </w:rPr>
              <w:t>Tėvų apklausos duomenimis vidaus ir lauko erdvių atnaujinimo pokyčiai vertinami 76 proc. – l. gerai. 13 proc-gerai. (11 proc. –neatsakė)</w:t>
            </w:r>
          </w:p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721149">
              <w:rPr>
                <w:rFonts w:ascii="Times New Roman" w:hAnsi="Times New Roman"/>
                <w:sz w:val="22"/>
                <w:szCs w:val="22"/>
                <w:lang w:val="lt-LT" w:eastAsia="lt-LT"/>
              </w:rPr>
              <w:t>Finansų kontrolės ataskaita įvertinta „gerai“</w:t>
            </w:r>
          </w:p>
        </w:tc>
      </w:tr>
      <w:tr w:rsidR="00B20A67" w:rsidRPr="00B74EDC" w:rsidTr="00B20A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B74E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1.3. Efektyviai dirbti pagal ES fondų priemones, pritraukti lėšas kitose respublikinėse, tarptautinėse priemonėse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B74E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P</w:t>
            </w:r>
            <w:r w:rsidRPr="00B74EDC">
              <w:rPr>
                <w:rFonts w:ascii="Times New Roman" w:hAnsi="Times New Roman"/>
                <w:sz w:val="22"/>
                <w:szCs w:val="22"/>
                <w:lang w:eastAsia="lt-LT"/>
              </w:rPr>
              <w:t>ateiktos paraiškos, teigiamai įvertintos paraiškos, sėkmingai įgyvendinama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B74E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eastAsia="lt-LT"/>
              </w:rPr>
              <w:t>Atsižvelgiant į projekto paraiškoje pateiktą tikslą, poreikį, sprendimo būdus, siekiamus rezultatus ir naudą, teigiamai įvertintos paraiškos</w:t>
            </w:r>
            <w:r w:rsidRPr="00B74EDC">
              <w:rPr>
                <w:rFonts w:ascii="Times New Roman" w:hAnsi="Times New Roman"/>
                <w:sz w:val="22"/>
                <w:szCs w:val="22"/>
              </w:rPr>
              <w:t xml:space="preserve">, projekto grafikų įgyvendinimas, projekto rezultatų vertinimas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67" w:rsidRPr="00B74EDC" w:rsidRDefault="00B20A67" w:rsidP="00812A55">
            <w:pPr>
              <w:jc w:val="both"/>
              <w:rPr>
                <w:rStyle w:val="rvts9"/>
                <w:rFonts w:ascii="Times New Roman" w:hAnsi="Times New Roman"/>
                <w:sz w:val="22"/>
                <w:szCs w:val="22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Pateikta paraiška Nr </w:t>
            </w:r>
            <w:r w:rsidRPr="00B74EDC">
              <w:rPr>
                <w:rFonts w:ascii="Times New Roman" w:hAnsi="Times New Roman"/>
                <w:sz w:val="22"/>
                <w:szCs w:val="22"/>
              </w:rPr>
              <w:t>09.2.1-ESFA-K-728-02-0061</w:t>
            </w:r>
            <w:r w:rsidRPr="00B74E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ES </w:t>
            </w:r>
            <w:r w:rsidRPr="00B74EDC">
              <w:rPr>
                <w:rStyle w:val="rvts9"/>
                <w:rFonts w:ascii="Times New Roman" w:hAnsi="Times New Roman"/>
                <w:sz w:val="22"/>
                <w:szCs w:val="22"/>
              </w:rPr>
              <w:t>fondų investicijos veiksmų programos 9 prioriteto „Visuomenės švietimas ir žmogiškųjų išteklių potencialo didinimas“ 09.2.1-ESFA-K-728 priemonės „Ikimokyklinio ir bendrojo ugdymo mokyklų veiklos tobulinimas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finansavimui gauti</w:t>
            </w:r>
            <w:r w:rsidRPr="00B74EDC">
              <w:rPr>
                <w:rStyle w:val="rvts9"/>
                <w:rFonts w:ascii="Times New Roman" w:hAnsi="Times New Roman"/>
                <w:sz w:val="22"/>
                <w:szCs w:val="22"/>
              </w:rPr>
              <w:t xml:space="preserve"> drauge su 3 partneriais iš Vilniaus, Klaipėdos ir Jonavos ikimokyklinėmis įstaigomis.</w:t>
            </w:r>
          </w:p>
          <w:p w:rsidR="00B20A67" w:rsidRPr="00B74EDC" w:rsidRDefault="00B20A67" w:rsidP="00812A55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74EDC">
              <w:rPr>
                <w:rStyle w:val="rvts9"/>
                <w:rFonts w:ascii="Times New Roman" w:hAnsi="Times New Roman"/>
                <w:sz w:val="22"/>
                <w:szCs w:val="22"/>
              </w:rPr>
              <w:t>“</w:t>
            </w:r>
          </w:p>
          <w:p w:rsidR="00B20A67" w:rsidRPr="00DA1A9B" w:rsidRDefault="00B20A67" w:rsidP="00812A5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74EDC">
              <w:rPr>
                <w:rFonts w:ascii="Times New Roman" w:hAnsi="Times New Roman"/>
                <w:iCs/>
                <w:sz w:val="22"/>
                <w:szCs w:val="22"/>
              </w:rPr>
              <w:t>2019 m. buvo įgyvendinama ES</w:t>
            </w:r>
            <w:r w:rsidRPr="00B74EDC">
              <w:rPr>
                <w:rFonts w:ascii="Times New Roman" w:hAnsi="Times New Roman"/>
                <w:sz w:val="22"/>
                <w:szCs w:val="22"/>
              </w:rPr>
              <w:t xml:space="preserve"> Paramos priemonė „Pienas vaikams“ ir programa „Vaisiai mokykloms“. Gauta 643,5 Eur. </w:t>
            </w:r>
            <w:r w:rsidRPr="00B74ED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ES lėšos -547,56 Eur, valstybės lėšos -95,94 Eur.</w:t>
            </w:r>
            <w:r w:rsidRPr="0072114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2114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20A67" w:rsidRPr="00DA1A9B" w:rsidTr="00B20A67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1.4. Įstaigos internetinė svetainė atitinka reikalavimus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F811D6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t>Įstaigos internetinėje svetainėje laikantis nustatytų terminų</w:t>
            </w:r>
            <w:r w:rsidRPr="00F81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811D6">
              <w:rPr>
                <w:rFonts w:ascii="Times New Roman" w:hAnsi="Times New Roman"/>
                <w:sz w:val="22"/>
                <w:szCs w:val="22"/>
                <w:lang w:eastAsia="lt-LT"/>
              </w:rPr>
              <w:t>skelbiama visa vieša informacija, susijusi su įstaigos veikla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F811D6" w:rsidRDefault="00B20A67" w:rsidP="00812A55">
            <w:pPr>
              <w:pStyle w:val="NoSpacing"/>
              <w:jc w:val="both"/>
              <w:rPr>
                <w:sz w:val="22"/>
                <w:szCs w:val="22"/>
              </w:rPr>
            </w:pPr>
            <w:r w:rsidRPr="00F811D6">
              <w:rPr>
                <w:sz w:val="22"/>
                <w:szCs w:val="22"/>
              </w:rPr>
              <w:t>Sukurta internetinė svetainė atitinkanti bendruosius reikalavimus valstybės ir savivaldybių institucijų ir įstaigų interneto svetainėms.</w:t>
            </w:r>
          </w:p>
          <w:p w:rsidR="00B20A67" w:rsidRPr="009160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>Sudarytos sąlygos visuomenei gauti internetu visą viešą informaciją apie įstaigoje teikiamas paslaug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as, užtikrinant jų veiksmingumą </w:t>
            </w:r>
            <w:r w:rsidRPr="00F811D6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pateikiamos informacijos aktualumą, patikimumą, paieškos galimybes, ir reguliarų informacijos atnaujinimą. </w:t>
            </w:r>
            <w:r w:rsidRPr="009160DC">
              <w:rPr>
                <w:rFonts w:ascii="Times New Roman" w:hAnsi="Times New Roman"/>
                <w:sz w:val="22"/>
                <w:szCs w:val="22"/>
                <w:lang w:val="lt-LT"/>
              </w:rPr>
              <w:t>Veikiantis elektroninis dienynas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67" w:rsidRPr="00B20A67" w:rsidRDefault="00B20A67" w:rsidP="00812A55">
            <w:pPr>
              <w:pStyle w:val="NoSpacing"/>
              <w:jc w:val="both"/>
              <w:rPr>
                <w:sz w:val="22"/>
                <w:szCs w:val="22"/>
              </w:rPr>
            </w:pPr>
            <w:r w:rsidRPr="00B20A67">
              <w:rPr>
                <w:sz w:val="22"/>
                <w:szCs w:val="22"/>
                <w:lang w:eastAsia="lt-LT"/>
              </w:rPr>
              <w:t xml:space="preserve">2019 m. sukurta darbo grupė atnaujino įstaigos internetinės svetainės struktūrą, turinį pagal </w:t>
            </w:r>
            <w:r w:rsidRPr="00B20A67">
              <w:rPr>
                <w:sz w:val="22"/>
                <w:szCs w:val="22"/>
              </w:rPr>
              <w:t>bendruosius reikalavimus valstybės ir savivaldybių institucijų ir įstaigų interneto svetainėms.</w:t>
            </w:r>
          </w:p>
          <w:p w:rsidR="00B20A67" w:rsidRPr="00B20A67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20A67">
              <w:rPr>
                <w:rFonts w:ascii="Times New Roman" w:hAnsi="Times New Roman"/>
                <w:sz w:val="22"/>
                <w:szCs w:val="22"/>
                <w:lang w:val="lt-LT" w:eastAsia="lt-LT"/>
              </w:rPr>
              <w:t>Naują svetainės dizaino projektą pasiūlė ir sukūrė tėveliai.</w:t>
            </w:r>
          </w:p>
          <w:p w:rsidR="00B20A67" w:rsidRPr="00B20A67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B20A67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Sukurta nauja internetinė svetainė </w:t>
            </w:r>
            <w:r w:rsidRPr="00B20A67">
              <w:rPr>
                <w:rFonts w:ascii="Times New Roman" w:hAnsi="Times New Roman"/>
              </w:rPr>
              <w:t>https://www.lddaigelis.lt/</w:t>
            </w:r>
          </w:p>
          <w:p w:rsidR="00B20A67" w:rsidRPr="00DA1A9B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20A67">
              <w:rPr>
                <w:rFonts w:ascii="Times New Roman" w:hAnsi="Times New Roman"/>
                <w:sz w:val="22"/>
                <w:szCs w:val="22"/>
                <w:lang w:val="lt-LT" w:eastAsia="lt-LT"/>
              </w:rPr>
              <w:t>Pakeista struktūra formuoja įstaigos šiuolaikišką įvaizdį, sudaro sąlygas gauti viešą informaciją apie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lopšelio-darželio veiklą, paslaugas. Informacija nuolat papildoma ir  atnaujinama.</w:t>
            </w:r>
          </w:p>
          <w:p w:rsidR="00B20A67" w:rsidRPr="009160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E</w:t>
            </w:r>
            <w:r w:rsidRPr="009160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lektroninis dienynas veikia nuo 2017 m. rugsėjo mėn.. 2019 m. el. dienyne buvo pakoreguota planavimo forma, kurioje atsispindi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ir </w:t>
            </w:r>
            <w:r w:rsidRPr="009160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specialistų numatomos veiklos ir refleksija.</w:t>
            </w:r>
          </w:p>
        </w:tc>
      </w:tr>
    </w:tbl>
    <w:p w:rsidR="00B20A67" w:rsidRPr="00BA06A9" w:rsidRDefault="00B20A67" w:rsidP="00B20A67">
      <w:pPr>
        <w:jc w:val="center"/>
        <w:rPr>
          <w:rFonts w:ascii="Times New Roman" w:hAnsi="Times New Roman"/>
          <w:lang w:val="lt-LT" w:eastAsia="lt-LT"/>
        </w:rPr>
      </w:pPr>
    </w:p>
    <w:p w:rsidR="00B20A67" w:rsidRPr="00DA4C2F" w:rsidRDefault="00B20A67" w:rsidP="00B20A6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B20A67" w:rsidRPr="00DA4C2F" w:rsidTr="00812A5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DA4C2F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DA4C2F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B20A67" w:rsidRPr="008457BA" w:rsidTr="00812A5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8457BA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457BA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2.1.</w:t>
            </w:r>
            <w:r w:rsidRPr="008457BA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Efektyviai dirbti pagal ES fondų priemones, pritraukti lėšas kitose respublikinėse, tarptautinėse priemonėse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B20A67" w:rsidRDefault="00B20A67" w:rsidP="00B20A67">
            <w:pPr>
              <w:pStyle w:val="rvps2"/>
              <w:rPr>
                <w:sz w:val="22"/>
                <w:szCs w:val="22"/>
              </w:rPr>
            </w:pPr>
            <w:r w:rsidRPr="00B20A67">
              <w:rPr>
                <w:sz w:val="22"/>
                <w:szCs w:val="22"/>
              </w:rPr>
              <w:t>Atmesta ES projekto paraiška</w:t>
            </w:r>
            <w:r>
              <w:rPr>
                <w:sz w:val="22"/>
                <w:szCs w:val="22"/>
              </w:rPr>
              <w:t xml:space="preserve"> Nr.</w:t>
            </w:r>
            <w:r w:rsidRPr="00B20A67">
              <w:rPr>
                <w:sz w:val="22"/>
                <w:szCs w:val="22"/>
              </w:rPr>
              <w:t xml:space="preserve"> 09.2.1-ESFA-K-728-02-0061, vertinimo metu suteiktų balų skaičius -59,5. </w:t>
            </w:r>
            <w:r w:rsidRPr="00B20A67">
              <w:rPr>
                <w:rStyle w:val="rvts9"/>
                <w:rFonts w:ascii="Times New Roman" w:hAnsi="Times New Roman"/>
                <w:sz w:val="22"/>
                <w:szCs w:val="22"/>
              </w:rPr>
              <w:t xml:space="preserve">Atsižvelgiant į tai, kad pagal Priemonę pateiktose </w:t>
            </w:r>
            <w:r w:rsidRPr="00B20A67">
              <w:rPr>
                <w:sz w:val="22"/>
                <w:szCs w:val="22"/>
              </w:rPr>
              <w:t>paraiškose prašoma finansavimo lėšų  suma yra didesnė nei Priemonės kvietimui teikti paraiškas skirta lėšų suma,</w:t>
            </w:r>
            <w:r w:rsidRPr="00B20A67">
              <w:rPr>
                <w:rStyle w:val="rvts9"/>
                <w:rFonts w:ascii="Times New Roman" w:hAnsi="Times New Roman"/>
                <w:sz w:val="22"/>
                <w:szCs w:val="22"/>
              </w:rPr>
              <w:t xml:space="preserve"> tinkamumo finansuoti vertinimo etape buvo vertinamos tik tos paraiškos, kurioms naudos ir kokybės vertinimo etape buvo suteikti 67 ir daugiau balų. </w:t>
            </w:r>
          </w:p>
        </w:tc>
      </w:tr>
    </w:tbl>
    <w:p w:rsidR="00B20A67" w:rsidRPr="00DA4C2F" w:rsidRDefault="00B20A67" w:rsidP="00B20A6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B20A67" w:rsidRPr="00A4504C" w:rsidRDefault="00B20A67" w:rsidP="00B20A67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 w:rsidRPr="00A4504C"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975"/>
      </w:tblGrid>
      <w:tr w:rsidR="00B20A67" w:rsidRPr="00DA4C2F" w:rsidTr="00B20A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DA4C2F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DA4C2F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B20A67" w:rsidRPr="00B74EDC" w:rsidTr="00B20A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9C66F5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B74E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</w:p>
        </w:tc>
      </w:tr>
      <w:tr w:rsidR="00B20A67" w:rsidRPr="00BA4A12" w:rsidTr="00B20A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9C66F5" w:rsidRDefault="00B20A67" w:rsidP="00B20A67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8A2453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3.1.</w:t>
            </w:r>
            <w:r w:rsidRPr="008A2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Parengti </w:t>
            </w:r>
            <w:r w:rsidRPr="008A2453">
              <w:rPr>
                <w:rFonts w:ascii="Times New Roman" w:hAnsi="Times New Roman"/>
                <w:sz w:val="22"/>
                <w:szCs w:val="22"/>
              </w:rPr>
              <w:t>ir gyvendinti 2 ,,</w:t>
            </w:r>
            <w:r w:rsidRPr="009C66F5">
              <w:rPr>
                <w:rStyle w:val="Emphasis"/>
                <w:rFonts w:ascii="Times New Roman" w:hAnsi="Times New Roman"/>
                <w:bCs/>
                <w:i w:val="0"/>
                <w:iCs w:val="0"/>
                <w:color w:val="52565A"/>
                <w:sz w:val="22"/>
                <w:szCs w:val="22"/>
                <w:shd w:val="clear" w:color="auto" w:fill="FFFFFF"/>
              </w:rPr>
              <w:t>eTwinning”</w:t>
            </w:r>
            <w:r w:rsidRPr="009C66F5">
              <w:rPr>
                <w:rFonts w:ascii="Times New Roman" w:hAnsi="Times New Roman"/>
                <w:color w:val="3C4043"/>
                <w:sz w:val="22"/>
                <w:szCs w:val="22"/>
                <w:shd w:val="clear" w:color="auto" w:fill="FFFFFF"/>
              </w:rPr>
              <w:t xml:space="preserve"> projektai:</w:t>
            </w:r>
            <w:r w:rsidRPr="009C66F5">
              <w:rPr>
                <w:rFonts w:ascii="Times New Roman" w:hAnsi="Times New Roman"/>
                <w:sz w:val="22"/>
                <w:szCs w:val="22"/>
              </w:rPr>
              <w:t xml:space="preserve"> ,,</w:t>
            </w:r>
            <w:r w:rsidRPr="009C66F5">
              <w:rPr>
                <w:rFonts w:ascii="Times New Roman" w:hAnsi="Times New Roman"/>
                <w:color w:val="3C4043"/>
                <w:sz w:val="22"/>
                <w:szCs w:val="22"/>
                <w:shd w:val="clear" w:color="auto" w:fill="FFFFFF"/>
              </w:rPr>
              <w:t xml:space="preserve">Animal display in musical games” ir  </w:t>
            </w:r>
            <w:r w:rsidRPr="009C66F5">
              <w:rPr>
                <w:rFonts w:ascii="Times New Roman" w:hAnsi="Times New Roman"/>
                <w:sz w:val="22"/>
                <w:szCs w:val="22"/>
              </w:rPr>
              <w:t>,,</w:t>
            </w:r>
            <w:r w:rsidRPr="009C66F5">
              <w:rPr>
                <w:rFonts w:ascii="Times New Roman" w:hAnsi="Times New Roman"/>
                <w:color w:val="3C4043"/>
                <w:sz w:val="22"/>
                <w:szCs w:val="22"/>
                <w:shd w:val="clear" w:color="auto" w:fill="FFFFFF"/>
              </w:rPr>
              <w:t xml:space="preserve">Summer is fun in kindergarden”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1B0189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Įgyvendintas projektas</w:t>
            </w:r>
            <w:r w:rsidRPr="001B018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,,Animal display in musical games” suteikė vaikams galimybę išbandyti naujus muzikinio ugdymo metodus ir būdus. Prasiplėtė vaikų panoraminis mąstymas pažįstant gyvūnus ir atrandant kitokius </w:t>
            </w:r>
            <w:r w:rsidRPr="001B018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kūno, balso, 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įvairių instrumentų panaudojimo galimybes.</w:t>
            </w:r>
          </w:p>
          <w:p w:rsidR="00B20A67" w:rsidRPr="00B74EDC" w:rsidRDefault="00B20A67" w:rsidP="00812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Projekto ,,Summer is fun in kindergarden” metu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su 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užsienio ir Lietuvos ikimokyklinių įstaigų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pedagogais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pasidalinta patirtimi kaip veiksmingai panaudoti lauko ir vidaus erdves, ugdymo formomis  ir metodais siekiant</w:t>
            </w:r>
            <w:r w:rsidRPr="001B018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vaikų užimtumo ir saugumo</w:t>
            </w:r>
            <w:r w:rsidRPr="001B018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vasaros laiku: Vaikų ugdymo procesas didžiąja dalimi vykdomas lauko erdvėse skatino vaikų pažinimo ir savisaugos  gebėjimus.  </w:t>
            </w:r>
          </w:p>
          <w:p w:rsidR="00B20A67" w:rsidRPr="00B74EDC" w:rsidRDefault="00B20A67" w:rsidP="00812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Pedagogai patobulino projektų rengimo ir įgyvendinimo kompetencijas.</w:t>
            </w:r>
          </w:p>
        </w:tc>
      </w:tr>
      <w:tr w:rsidR="00B20A67" w:rsidRPr="00B74EDC" w:rsidTr="00B20A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BA4A12" w:rsidRDefault="00B20A67" w:rsidP="00B20A6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3.2</w:t>
            </w:r>
            <w:r w:rsidRPr="00BA4A12">
              <w:rPr>
                <w:rFonts w:ascii="Times New Roman" w:hAnsi="Times New Roman"/>
                <w:sz w:val="22"/>
                <w:szCs w:val="22"/>
                <w:lang w:val="lt-LT" w:eastAsia="lt-LT"/>
              </w:rPr>
              <w:t>.Atliktas</w:t>
            </w:r>
            <w:r w:rsidRPr="00BA4A12">
              <w:rPr>
                <w:rFonts w:ascii="Times New Roman" w:hAnsi="Times New Roman"/>
                <w:sz w:val="22"/>
                <w:szCs w:val="22"/>
              </w:rPr>
              <w:t xml:space="preserve"> elektros instaliacijos remontas 2 grupių patalpose ir 6 kabinetuose, pakeisti šviestuvai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panudojus 6</w:t>
            </w:r>
            <w:r w:rsidRPr="00BA4A12">
              <w:rPr>
                <w:rFonts w:ascii="Times New Roman" w:hAnsi="Times New Roman"/>
                <w:sz w:val="22"/>
                <w:szCs w:val="22"/>
              </w:rPr>
              <w:t xml:space="preserve">998,00 Eur </w:t>
            </w:r>
            <w:r>
              <w:rPr>
                <w:rFonts w:ascii="Times New Roman" w:hAnsi="Times New Roman"/>
                <w:sz w:val="22"/>
                <w:szCs w:val="22"/>
              </w:rPr>
              <w:t>SB , Spec, 2 proc . lėšas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B74ED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B74EDC">
              <w:rPr>
                <w:rFonts w:ascii="Times New Roman" w:hAnsi="Times New Roman"/>
                <w:sz w:val="22"/>
                <w:szCs w:val="22"/>
                <w:lang w:eastAsia="lt-LT"/>
              </w:rPr>
              <w:t>Pagerėjo d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>arbuotojų darbo sąlygos, vaikų veikla vyksta patalpose, kuriose apšvietimas atitinka higienos normas. T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inkamas</w:t>
            </w:r>
            <w:r w:rsidRPr="00B74EDC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apšvietimas saugo vaikų ir darbuotojų emocinę bei fizinę sveikatą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, gerą savijautą.</w:t>
            </w:r>
          </w:p>
        </w:tc>
      </w:tr>
      <w:tr w:rsidR="00B20A67" w:rsidRPr="00DD13DA" w:rsidTr="00B20A6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00099A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0099A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3.3. Metų pabaigoje sutaupytos lėšos racionaliai naudojant komunalines paslaugas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apie </w:t>
            </w:r>
            <w:r w:rsidRPr="0000099A">
              <w:rPr>
                <w:rFonts w:ascii="Times New Roman" w:hAnsi="Times New Roman"/>
                <w:sz w:val="22"/>
                <w:szCs w:val="22"/>
                <w:lang w:val="lt-LT" w:eastAsia="lt-LT"/>
              </w:rPr>
              <w:t>4000,00 Eur   panaudotos ugdymo erdvių  įrangai, darbo sąlygų pagerinimui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00099A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00099A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Įsigyta 2 indaplovės, projektorius, kompiuterinė įranga, garso kolonėlės, 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įrengti </w:t>
            </w:r>
            <w:r w:rsidRPr="0000099A">
              <w:rPr>
                <w:rFonts w:ascii="Times New Roman" w:hAnsi="Times New Roman"/>
                <w:sz w:val="22"/>
                <w:szCs w:val="22"/>
                <w:lang w:val="lt-LT" w:eastAsia="lt-LT"/>
              </w:rPr>
              <w:t>apsauginiai laiptų aikštelės varteliai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, salės pertvara.</w:t>
            </w:r>
            <w:r w:rsidRPr="0000099A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Aplinkos tapo saugesnės ir veiksmingesnės.</w:t>
            </w:r>
          </w:p>
        </w:tc>
      </w:tr>
    </w:tbl>
    <w:p w:rsidR="00B20A67" w:rsidRPr="00BA06A9" w:rsidRDefault="00B20A67" w:rsidP="00B20A67">
      <w:pPr>
        <w:rPr>
          <w:rFonts w:ascii="Times New Roman" w:hAnsi="Times New Roman"/>
          <w:lang w:val="lt-LT"/>
        </w:rPr>
      </w:pPr>
    </w:p>
    <w:p w:rsidR="00B20A67" w:rsidRPr="00DA4C2F" w:rsidRDefault="00B20A67" w:rsidP="00B20A6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4. Pakoreguot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ų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2019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čių nebuvo</w:t>
      </w:r>
    </w:p>
    <w:p w:rsidR="00B20A67" w:rsidRPr="00BA06A9" w:rsidRDefault="00B20A67" w:rsidP="00B20A67">
      <w:pPr>
        <w:jc w:val="center"/>
        <w:rPr>
          <w:rFonts w:ascii="Times New Roman" w:hAnsi="Times New Roman"/>
          <w:lang w:val="lt-LT" w:eastAsia="lt-LT"/>
        </w:rPr>
      </w:pP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B20A67" w:rsidRPr="00BA06A9" w:rsidRDefault="00B20A67" w:rsidP="00B20A67">
      <w:pPr>
        <w:jc w:val="center"/>
        <w:rPr>
          <w:rFonts w:ascii="Times New Roman" w:hAnsi="Times New Roman"/>
          <w:b/>
          <w:lang w:val="lt-LT" w:eastAsia="lt-LT"/>
        </w:rPr>
      </w:pPr>
    </w:p>
    <w:p w:rsidR="00B20A67" w:rsidRPr="00DA4C2F" w:rsidRDefault="00B20A67" w:rsidP="00B20A67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B20A67" w:rsidRPr="00DA4C2F" w:rsidTr="00812A5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DA4C2F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DA4C2F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B20A67" w:rsidRPr="00DA4C2F" w:rsidTr="00812A5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B20A67" w:rsidRPr="00DA4C2F" w:rsidTr="00812A5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B20A67" w:rsidRPr="00DA4C2F" w:rsidTr="00812A5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B20A67" w:rsidRPr="00DA4C2F" w:rsidTr="00812A55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603DE0" w:rsidRDefault="00B20A67" w:rsidP="00812A55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B20A67" w:rsidRPr="00BA06A9" w:rsidRDefault="00B20A67" w:rsidP="00B20A67">
      <w:pPr>
        <w:jc w:val="center"/>
        <w:rPr>
          <w:rFonts w:ascii="Times New Roman" w:hAnsi="Times New Roman"/>
          <w:lang w:val="lt-LT" w:eastAsia="lt-LT"/>
        </w:rPr>
      </w:pPr>
    </w:p>
    <w:p w:rsidR="00B20A67" w:rsidRPr="00DA4C2F" w:rsidRDefault="00B20A67" w:rsidP="00B20A67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6.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20A67" w:rsidRPr="00EA3304" w:rsidTr="00812A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C745F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745FC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6.1. Įstaigos finansų, žmogiškųjų išteklių ir struktūros  valdymas.</w:t>
            </w:r>
          </w:p>
        </w:tc>
      </w:tr>
      <w:tr w:rsidR="00B20A67" w:rsidRPr="00EA3304" w:rsidTr="00812A5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C745FC" w:rsidRDefault="00B20A67" w:rsidP="00812A55">
            <w:pPr>
              <w:jc w:val="both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C745FC">
              <w:rPr>
                <w:rFonts w:ascii="Times New Roman" w:hAnsi="Times New Roman"/>
                <w:sz w:val="22"/>
                <w:szCs w:val="22"/>
                <w:lang w:val="lt-LT" w:eastAsia="lt-LT"/>
              </w:rPr>
              <w:t>6.2.Dokumentų valdymo ir naujų teisės aktų įgalinimas</w:t>
            </w:r>
          </w:p>
        </w:tc>
      </w:tr>
    </w:tbl>
    <w:p w:rsidR="00B20A67" w:rsidRPr="00BA06A9" w:rsidRDefault="00B20A67" w:rsidP="00B20A67">
      <w:pPr>
        <w:jc w:val="center"/>
        <w:rPr>
          <w:rFonts w:ascii="Times New Roman" w:hAnsi="Times New Roman"/>
          <w:b/>
          <w:lang w:val="lt-LT" w:eastAsia="lt-LT"/>
        </w:rPr>
      </w:pPr>
    </w:p>
    <w:p w:rsidR="00B20A67" w:rsidRPr="00BF1AD9" w:rsidRDefault="00B20A67" w:rsidP="00B20A67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BF1AD9">
        <w:rPr>
          <w:szCs w:val="24"/>
          <w:lang w:eastAsia="lt-LT"/>
        </w:rPr>
        <w:t xml:space="preserve">Direktorė               </w:t>
      </w:r>
      <w:r>
        <w:rPr>
          <w:szCs w:val="24"/>
          <w:lang w:eastAsia="lt-LT"/>
        </w:rPr>
        <w:t xml:space="preserve">                    ______________ </w:t>
      </w:r>
      <w:r w:rsidRPr="00BF1AD9">
        <w:rPr>
          <w:szCs w:val="24"/>
          <w:lang w:eastAsia="lt-LT"/>
        </w:rPr>
        <w:t xml:space="preserve">                  </w:t>
      </w:r>
      <w:r>
        <w:rPr>
          <w:szCs w:val="24"/>
          <w:lang w:eastAsia="lt-LT"/>
        </w:rPr>
        <w:t xml:space="preserve"> </w:t>
      </w:r>
      <w:r w:rsidRPr="00BF1AD9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Laima </w:t>
      </w:r>
      <w:r w:rsidRPr="00BF1AD9">
        <w:rPr>
          <w:szCs w:val="24"/>
          <w:lang w:eastAsia="lt-LT"/>
        </w:rPr>
        <w:t xml:space="preserve">Kanienė  </w:t>
      </w:r>
      <w:r>
        <w:rPr>
          <w:szCs w:val="24"/>
          <w:lang w:eastAsia="lt-LT"/>
        </w:rPr>
        <w:t xml:space="preserve">    </w:t>
      </w:r>
      <w:r w:rsidRPr="00BF1AD9">
        <w:rPr>
          <w:szCs w:val="24"/>
          <w:lang w:eastAsia="lt-LT"/>
        </w:rPr>
        <w:t xml:space="preserve">          </w:t>
      </w:r>
      <w:r>
        <w:rPr>
          <w:szCs w:val="24"/>
          <w:lang w:eastAsia="lt-LT"/>
        </w:rPr>
        <w:t>2020-01-20</w:t>
      </w:r>
    </w:p>
    <w:p w:rsidR="00B20A67" w:rsidRDefault="00B20A67" w:rsidP="00B20A67">
      <w:pPr>
        <w:tabs>
          <w:tab w:val="left" w:pos="4536"/>
          <w:tab w:val="left" w:pos="7230"/>
        </w:tabs>
        <w:jc w:val="both"/>
        <w:rPr>
          <w:lang w:eastAsia="lt-LT"/>
        </w:rPr>
      </w:pPr>
      <w:r>
        <w:rPr>
          <w:lang w:eastAsia="lt-LT"/>
        </w:rPr>
        <w:t xml:space="preserve">                                                                   (parašas)                               </w:t>
      </w:r>
    </w:p>
    <w:p w:rsidR="00B20A67" w:rsidRPr="00BA06A9" w:rsidRDefault="00B20A67" w:rsidP="00B20A67">
      <w:pPr>
        <w:jc w:val="center"/>
        <w:rPr>
          <w:rFonts w:ascii="Times New Roman" w:hAnsi="Times New Roman"/>
          <w:b/>
          <w:lang w:val="lt-LT" w:eastAsia="lt-LT"/>
        </w:rPr>
      </w:pP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B20A67" w:rsidRPr="00DA4C2F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B20A67" w:rsidRPr="00BA06A9" w:rsidRDefault="00B20A67" w:rsidP="00B20A67">
      <w:pPr>
        <w:jc w:val="center"/>
        <w:rPr>
          <w:rFonts w:ascii="Times New Roman" w:hAnsi="Times New Roman"/>
          <w:lang w:val="lt-LT" w:eastAsia="lt-LT"/>
        </w:rPr>
      </w:pPr>
    </w:p>
    <w:p w:rsidR="00B20A67" w:rsidRPr="00DA4C2F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B20A67" w:rsidRPr="00DA4C2F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B20A67" w:rsidRPr="00DA4C2F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B20A67" w:rsidRPr="00DA4C2F" w:rsidRDefault="00B20A67" w:rsidP="00B20A67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B20A67" w:rsidRPr="00DA4C2F" w:rsidRDefault="00B20A67" w:rsidP="00B20A6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20A67" w:rsidRPr="00603DE0" w:rsidRDefault="00B20A67" w:rsidP="00B20A67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mokyklos tarybos įgaliotas asmuo)              </w:t>
      </w:r>
      <w:r>
        <w:rPr>
          <w:rFonts w:ascii="Times New Roman" w:hAnsi="Times New Roman"/>
          <w:lang w:val="lt-LT" w:eastAsia="lt-LT"/>
        </w:rPr>
        <w:t xml:space="preserve">   </w:t>
      </w:r>
      <w:r w:rsidRPr="00393BA8">
        <w:rPr>
          <w:rFonts w:ascii="Times New Roman" w:hAnsi="Times New Roman"/>
          <w:lang w:val="lt-LT" w:eastAsia="lt-LT"/>
        </w:rPr>
        <w:t xml:space="preserve">(parašas)    </w:t>
      </w:r>
      <w:r>
        <w:rPr>
          <w:rFonts w:ascii="Times New Roman" w:hAnsi="Times New Roman"/>
          <w:lang w:val="lt-LT" w:eastAsia="lt-LT"/>
        </w:rPr>
        <w:t xml:space="preserve">                           </w:t>
      </w:r>
      <w:r w:rsidRPr="00393BA8">
        <w:rPr>
          <w:rFonts w:ascii="Times New Roman" w:hAnsi="Times New Roman"/>
          <w:lang w:val="lt-LT" w:eastAsia="lt-LT"/>
        </w:rPr>
        <w:t xml:space="preserve"> (vardas ir pavardė)                      (data)</w:t>
      </w:r>
    </w:p>
    <w:p w:rsidR="00B20A67" w:rsidRPr="00603DE0" w:rsidRDefault="00B20A67" w:rsidP="00B20A67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B20A67" w:rsidRPr="00E3287E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B20A67" w:rsidRPr="00E3287E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B20A67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B20A67" w:rsidRPr="00E3287E" w:rsidRDefault="00B20A67" w:rsidP="00B20A67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B20A67" w:rsidRDefault="00B20A67" w:rsidP="00B20A6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D6E38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 pavaduotoja, </w:t>
      </w:r>
    </w:p>
    <w:p w:rsidR="00B20A67" w:rsidRPr="00E3287E" w:rsidRDefault="00B20A67" w:rsidP="00B20A6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atliekanti skyriaus vedėjo funkcijas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__________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Ona Gucevičienė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:rsidR="00B20A67" w:rsidRPr="00E3287E" w:rsidRDefault="00B20A67" w:rsidP="00B20A6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Pr="00E3287E">
        <w:rPr>
          <w:rFonts w:ascii="Times New Roman" w:hAnsi="Times New Roman"/>
          <w:lang w:val="lt-LT" w:eastAsia="lt-LT"/>
        </w:rPr>
        <w:t xml:space="preserve"> (data)</w:t>
      </w:r>
    </w:p>
    <w:p w:rsidR="00B20A67" w:rsidRPr="00E3287E" w:rsidRDefault="00B20A67" w:rsidP="00B20A6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20A67" w:rsidRPr="00E3287E" w:rsidRDefault="00B20A67" w:rsidP="00B20A6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B20A67" w:rsidRPr="00E3287E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B20A67" w:rsidRPr="00E3287E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V SKYRIUS</w:t>
      </w:r>
    </w:p>
    <w:p w:rsidR="00B20A67" w:rsidRPr="00E3287E" w:rsidRDefault="00B20A67" w:rsidP="00B20A67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VEIKLOS UŽDUOTYS, REZULTATAI IR RODIKLIAI</w:t>
      </w:r>
    </w:p>
    <w:p w:rsidR="00B20A67" w:rsidRPr="00E3287E" w:rsidRDefault="00B20A67" w:rsidP="00B20A67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20A67" w:rsidRPr="00E3287E" w:rsidRDefault="00B20A67" w:rsidP="00B20A67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</w:r>
      <w:r>
        <w:rPr>
          <w:rFonts w:ascii="Times New Roman" w:hAnsi="Times New Roman"/>
          <w:b/>
          <w:sz w:val="24"/>
          <w:szCs w:val="24"/>
          <w:lang w:val="lt-LT" w:eastAsia="lt-LT"/>
        </w:rPr>
        <w:t>2020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 xml:space="preserve"> metų užduotys</w:t>
      </w:r>
    </w:p>
    <w:p w:rsidR="00B20A67" w:rsidRPr="00E3287E" w:rsidRDefault="00B20A67" w:rsidP="00B20A67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B20A67" w:rsidRPr="00E3287E" w:rsidTr="00812A5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B20A67" w:rsidRPr="00E3287E" w:rsidTr="00812A5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20A67" w:rsidRPr="00E3287E" w:rsidTr="00812A5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20A67" w:rsidRPr="00E3287E" w:rsidTr="00812A5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20A67" w:rsidRPr="00E3287E" w:rsidTr="00812A5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20A67" w:rsidRPr="00E3287E" w:rsidTr="00812A5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7" w:rsidRPr="00E3287E" w:rsidRDefault="00B20A67" w:rsidP="00812A55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B20A67" w:rsidRPr="00E3287E" w:rsidRDefault="00B20A67" w:rsidP="00B20A67">
      <w:pPr>
        <w:rPr>
          <w:rFonts w:ascii="Times New Roman" w:hAnsi="Times New Roman"/>
          <w:sz w:val="24"/>
          <w:szCs w:val="24"/>
          <w:lang w:val="lt-LT"/>
        </w:rPr>
      </w:pPr>
    </w:p>
    <w:p w:rsidR="00B20A67" w:rsidRPr="00E3287E" w:rsidRDefault="00B20A67" w:rsidP="00B20A67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10.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B20A67" w:rsidRPr="00E3287E" w:rsidRDefault="00B20A67" w:rsidP="00B20A67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20A67" w:rsidRPr="00E3287E" w:rsidTr="00812A5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</w:p>
        </w:tc>
      </w:tr>
      <w:tr w:rsidR="00B20A67" w:rsidRPr="00E3287E" w:rsidTr="00812A5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</w:p>
        </w:tc>
      </w:tr>
      <w:tr w:rsidR="00B20A67" w:rsidRPr="00E3287E" w:rsidTr="00812A5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7" w:rsidRPr="00E3287E" w:rsidRDefault="00B20A67" w:rsidP="00812A5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10.3.</w:t>
            </w:r>
          </w:p>
        </w:tc>
      </w:tr>
    </w:tbl>
    <w:p w:rsidR="00B20A67" w:rsidRPr="00E3287E" w:rsidRDefault="00B20A67" w:rsidP="00B20A67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B20A67" w:rsidRPr="00E3287E" w:rsidRDefault="00B20A67" w:rsidP="00B20A6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20A67" w:rsidRDefault="00B20A67" w:rsidP="00B20A6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6D6E38">
        <w:rPr>
          <w:rFonts w:ascii="Times New Roman" w:hAnsi="Times New Roman"/>
          <w:sz w:val="24"/>
          <w:szCs w:val="24"/>
          <w:u w:val="single"/>
          <w:lang w:val="lt-LT" w:eastAsia="lt-LT"/>
        </w:rPr>
        <w:t>Švietimo skyriaus vedėj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o pavaduotoja, </w:t>
      </w:r>
    </w:p>
    <w:p w:rsidR="00B20A67" w:rsidRPr="00E3287E" w:rsidRDefault="00B20A67" w:rsidP="00B20A6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atliekanti skyriaus vedėjo funkcijas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__________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Ona Gucevičienė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>__________</w:t>
      </w:r>
    </w:p>
    <w:p w:rsidR="00B20A67" w:rsidRPr="00E3287E" w:rsidRDefault="00B20A67" w:rsidP="00B20A67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                                                                                  </w:t>
      </w:r>
      <w:r w:rsidRPr="00E3287E">
        <w:rPr>
          <w:rFonts w:ascii="Times New Roman" w:hAnsi="Times New Roman"/>
          <w:lang w:val="lt-LT" w:eastAsia="lt-LT"/>
        </w:rPr>
        <w:t>(data)</w:t>
      </w:r>
    </w:p>
    <w:p w:rsidR="00B20A67" w:rsidRPr="00E3287E" w:rsidRDefault="00B20A67" w:rsidP="00B20A6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B20A67" w:rsidRPr="00E3287E" w:rsidRDefault="00B20A67" w:rsidP="00B20A67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lastRenderedPageBreak/>
        <w:t>Susipažinau.</w:t>
      </w:r>
    </w:p>
    <w:p w:rsidR="00B20A67" w:rsidRPr="00E3287E" w:rsidRDefault="00B20A67" w:rsidP="00B20A67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20A67" w:rsidRPr="00E3287E" w:rsidRDefault="00B20A67" w:rsidP="00B20A67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B20A67" w:rsidRPr="00E3287E" w:rsidRDefault="00B20A67" w:rsidP="00B20A6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:rsidR="00B20A67" w:rsidRPr="00E3287E" w:rsidRDefault="00B20A67" w:rsidP="00B20A6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20A67" w:rsidRPr="00E3287E" w:rsidRDefault="00B20A67" w:rsidP="00B20A67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20A67" w:rsidRPr="00603DE0" w:rsidRDefault="00B20A67" w:rsidP="00B20A67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4C40D9" w:rsidRPr="00B20A67" w:rsidRDefault="004C40D9">
      <w:pPr>
        <w:rPr>
          <w:lang w:val="lt-LT"/>
        </w:rPr>
      </w:pPr>
    </w:p>
    <w:sectPr w:rsidR="004C40D9" w:rsidRPr="00B20A67" w:rsidSect="005A339C">
      <w:headerReference w:type="default" r:id="rId7"/>
      <w:footerReference w:type="even" r:id="rId8"/>
      <w:footerReference w:type="default" r:id="rId9"/>
      <w:pgSz w:w="11907" w:h="16840" w:code="9"/>
      <w:pgMar w:top="851" w:right="562" w:bottom="1238" w:left="1699" w:header="288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31" w:rsidRDefault="005A1C31">
      <w:r>
        <w:separator/>
      </w:r>
    </w:p>
  </w:endnote>
  <w:endnote w:type="continuationSeparator" w:id="0">
    <w:p w:rsidR="005A1C31" w:rsidRDefault="005A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2C2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5A1C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E7" w:rsidRDefault="005A1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31" w:rsidRDefault="005A1C31">
      <w:r>
        <w:separator/>
      </w:r>
    </w:p>
  </w:footnote>
  <w:footnote w:type="continuationSeparator" w:id="0">
    <w:p w:rsidR="005A1C31" w:rsidRDefault="005A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23" w:rsidRDefault="002C281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178AB" w:rsidRPr="002178AB">
      <w:rPr>
        <w:noProof/>
        <w:lang w:val="lt-LT"/>
      </w:rPr>
      <w:t>6</w:t>
    </w:r>
    <w:r>
      <w:fldChar w:fldCharType="end"/>
    </w:r>
  </w:p>
  <w:p w:rsidR="003F337B" w:rsidRDefault="005A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F384E"/>
    <w:multiLevelType w:val="hybridMultilevel"/>
    <w:tmpl w:val="D64E2F54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67"/>
    <w:rsid w:val="002178AB"/>
    <w:rsid w:val="002C2814"/>
    <w:rsid w:val="004C40D9"/>
    <w:rsid w:val="005A1C31"/>
    <w:rsid w:val="00B20A67"/>
    <w:rsid w:val="00CC2C63"/>
    <w:rsid w:val="00F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E3FF-71D2-4D7C-B979-951BF82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0A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0A67"/>
    <w:rPr>
      <w:rFonts w:ascii="HelveticaLT" w:eastAsia="Times New Roman" w:hAnsi="HelveticaLT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20A67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67"/>
    <w:rPr>
      <w:rFonts w:ascii="HelveticaLT" w:eastAsia="Times New Roman" w:hAnsi="HelveticaLT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B20A67"/>
  </w:style>
  <w:style w:type="paragraph" w:styleId="NoSpacing">
    <w:name w:val="No Spacing"/>
    <w:uiPriority w:val="1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rvts9">
    <w:name w:val="rvts9"/>
    <w:basedOn w:val="DefaultParagraphFont"/>
    <w:rsid w:val="00B20A67"/>
    <w:rPr>
      <w:rFonts w:ascii="Calibri" w:hAnsi="Calibri" w:hint="default"/>
    </w:rPr>
  </w:style>
  <w:style w:type="paragraph" w:customStyle="1" w:styleId="rvps2">
    <w:name w:val="rvps2"/>
    <w:basedOn w:val="Normal"/>
    <w:rsid w:val="00B20A67"/>
    <w:pPr>
      <w:overflowPunct/>
      <w:autoSpaceDE/>
      <w:autoSpaceDN/>
      <w:adjustRightInd/>
      <w:jc w:val="both"/>
      <w:textAlignment w:val="auto"/>
    </w:pPr>
    <w:rPr>
      <w:rFonts w:ascii="Times New Roman" w:eastAsia="Calibri" w:hAnsi="Times New Roman"/>
      <w:sz w:val="24"/>
      <w:szCs w:val="24"/>
      <w:lang w:val="lt-LT" w:eastAsia="lt-LT"/>
    </w:rPr>
  </w:style>
  <w:style w:type="character" w:styleId="Emphasis">
    <w:name w:val="Emphasis"/>
    <w:basedOn w:val="DefaultParagraphFont"/>
    <w:uiPriority w:val="20"/>
    <w:qFormat/>
    <w:rsid w:val="00B20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8582</Words>
  <Characters>4893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L/D Daigelis</dc:creator>
  <cp:keywords/>
  <dc:description/>
  <cp:lastModifiedBy>Windows User</cp:lastModifiedBy>
  <cp:revision>3</cp:revision>
  <dcterms:created xsi:type="dcterms:W3CDTF">2020-01-20T15:03:00Z</dcterms:created>
  <dcterms:modified xsi:type="dcterms:W3CDTF">2020-01-20T15:03:00Z</dcterms:modified>
</cp:coreProperties>
</file>